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33E6" w14:textId="77777777" w:rsidR="000E6563" w:rsidRPr="000E6563" w:rsidRDefault="000E6563" w:rsidP="000E6563">
      <w:pPr>
        <w:spacing w:after="0" w:line="240" w:lineRule="auto"/>
        <w:jc w:val="center"/>
        <w:rPr>
          <w:rFonts w:ascii="Mercury Display" w:eastAsia="Times New Roman" w:hAnsi="Mercury Display" w:cs="Times New Roman"/>
          <w:sz w:val="24"/>
          <w:szCs w:val="24"/>
        </w:rPr>
      </w:pPr>
      <w:r w:rsidRPr="000E6563">
        <w:rPr>
          <w:rFonts w:ascii="Mercury Display" w:eastAsia="Times New Roman" w:hAnsi="Mercury Display" w:cs="Times New Roman"/>
          <w:b/>
          <w:noProof/>
          <w:sz w:val="36"/>
          <w:szCs w:val="36"/>
        </w:rPr>
        <w:drawing>
          <wp:inline distT="0" distB="0" distL="0" distR="0" wp14:anchorId="459241DB" wp14:editId="16F5391D">
            <wp:extent cx="2933700" cy="871118"/>
            <wp:effectExtent l="0" t="0" r="0" b="5715"/>
            <wp:docPr id="1" name="Picture 1" descr="C:\Users\aatki2\AppData\Local\Microsoft\Windows\INetCache\Content.Outlook\2217GI0M\Women and Philanthrop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tki2\AppData\Local\Microsoft\Windows\INetCache\Content.Outlook\2217GI0M\Women and Philanthropy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85" cy="8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E74F" w14:textId="77777777" w:rsidR="000E6563" w:rsidRPr="000E6563" w:rsidRDefault="000E6563" w:rsidP="000E6563">
      <w:pPr>
        <w:spacing w:after="0" w:line="240" w:lineRule="auto"/>
        <w:jc w:val="center"/>
        <w:rPr>
          <w:rFonts w:ascii="Mercury Display" w:eastAsia="Times New Roman" w:hAnsi="Mercury Display" w:cs="Times New Roman"/>
          <w:sz w:val="24"/>
          <w:szCs w:val="24"/>
        </w:rPr>
      </w:pPr>
    </w:p>
    <w:p w14:paraId="755C72A0" w14:textId="77777777" w:rsidR="000E6563" w:rsidRPr="000E6563" w:rsidRDefault="000E6563" w:rsidP="000E6563">
      <w:pPr>
        <w:spacing w:after="0" w:line="240" w:lineRule="auto"/>
        <w:jc w:val="center"/>
        <w:rPr>
          <w:rFonts w:ascii="Mercury Display" w:eastAsia="Times New Roman" w:hAnsi="Mercury Display" w:cs="Times New Roman"/>
          <w:sz w:val="24"/>
          <w:szCs w:val="24"/>
        </w:rPr>
      </w:pPr>
    </w:p>
    <w:p w14:paraId="76A6556A" w14:textId="77777777" w:rsidR="000E6563" w:rsidRPr="000E6563" w:rsidRDefault="000E6563" w:rsidP="000E6563">
      <w:pPr>
        <w:spacing w:after="0" w:line="240" w:lineRule="auto"/>
        <w:jc w:val="center"/>
        <w:rPr>
          <w:rFonts w:ascii="Mercury Display Semibold" w:eastAsia="Times New Roman" w:hAnsi="Mercury Display Semibold" w:cs="Arial"/>
          <w:b/>
          <w:bCs/>
          <w:sz w:val="28"/>
          <w:szCs w:val="28"/>
        </w:rPr>
      </w:pPr>
      <w:r w:rsidRPr="000E6563">
        <w:rPr>
          <w:rFonts w:ascii="Mercury Display Semibold" w:eastAsia="Times New Roman" w:hAnsi="Mercury Display Semibold" w:cs="Arial"/>
          <w:b/>
          <w:bCs/>
          <w:sz w:val="28"/>
          <w:szCs w:val="28"/>
        </w:rPr>
        <w:t>Criteria for Funding and Helpful Tips</w:t>
      </w:r>
    </w:p>
    <w:p w14:paraId="6627B5EC" w14:textId="77777777" w:rsidR="000E6563" w:rsidRPr="000E6563" w:rsidRDefault="000E6563" w:rsidP="000E6563">
      <w:pPr>
        <w:spacing w:after="0" w:line="240" w:lineRule="auto"/>
        <w:jc w:val="center"/>
        <w:rPr>
          <w:rFonts w:ascii="Mercury Display" w:eastAsia="Times New Roman" w:hAnsi="Mercury Display" w:cs="Arial"/>
          <w:b/>
          <w:bCs/>
          <w:sz w:val="28"/>
          <w:szCs w:val="28"/>
        </w:rPr>
      </w:pPr>
      <w:r w:rsidRPr="000E6563">
        <w:rPr>
          <w:rFonts w:ascii="Mercury Display" w:eastAsia="Times New Roman" w:hAnsi="Mercury Display" w:cs="Arial"/>
          <w:b/>
          <w:bCs/>
          <w:sz w:val="28"/>
          <w:szCs w:val="28"/>
        </w:rPr>
        <w:t xml:space="preserve"> </w:t>
      </w:r>
    </w:p>
    <w:p w14:paraId="1C7B06AA" w14:textId="77777777" w:rsidR="000E6563" w:rsidRPr="000E6563" w:rsidRDefault="000E6563" w:rsidP="000E6563">
      <w:pPr>
        <w:spacing w:after="0" w:line="240" w:lineRule="auto"/>
        <w:ind w:left="630"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>Scholarships may cover tuition and mandatory fees, room and board, books, and may cover other expenses such as cultural and international experiences, health insurance, childcare, etc.</w:t>
      </w:r>
    </w:p>
    <w:p w14:paraId="36BB58C3" w14:textId="77777777" w:rsidR="000E6563" w:rsidRPr="000E6563" w:rsidRDefault="000E6563" w:rsidP="000E6563">
      <w:pPr>
        <w:spacing w:after="0" w:line="240" w:lineRule="auto"/>
        <w:ind w:left="360"/>
        <w:rPr>
          <w:rFonts w:ascii="Mercury Display" w:eastAsia="Times New Roman" w:hAnsi="Mercury Display" w:cs="Arial"/>
          <w:sz w:val="24"/>
          <w:szCs w:val="24"/>
        </w:rPr>
      </w:pPr>
    </w:p>
    <w:p w14:paraId="4C4902BC" w14:textId="77777777" w:rsidR="000E6563" w:rsidRPr="000E6563" w:rsidRDefault="000E6563" w:rsidP="000E6563">
      <w:pPr>
        <w:spacing w:after="0" w:line="240" w:lineRule="auto"/>
        <w:ind w:left="630"/>
        <w:contextualSpacing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 xml:space="preserve">Students must be enrolled at the University of Kentucky and be in good standing. Eligible students include undergraduates, and graduate and professional degree students. Transfer and non-traditional students via traditional and alternative paths are eligible. There is no gender preference.  </w:t>
      </w:r>
    </w:p>
    <w:p w14:paraId="27FAD498" w14:textId="77777777" w:rsidR="000E6563" w:rsidRPr="000E6563" w:rsidRDefault="000E6563" w:rsidP="000E6563">
      <w:pPr>
        <w:spacing w:after="0" w:line="240" w:lineRule="auto"/>
        <w:rPr>
          <w:rFonts w:ascii="Mercury Display" w:eastAsia="Times New Roman" w:hAnsi="Mercury Display" w:cs="Arial"/>
          <w:sz w:val="24"/>
          <w:szCs w:val="24"/>
        </w:rPr>
      </w:pPr>
    </w:p>
    <w:p w14:paraId="5CBA8D14" w14:textId="77777777" w:rsidR="000E6563" w:rsidRPr="000E6563" w:rsidRDefault="000E6563" w:rsidP="000E6563">
      <w:pPr>
        <w:spacing w:after="0" w:line="240" w:lineRule="auto"/>
        <w:ind w:left="630"/>
        <w:contextualSpacing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>Proposals should not include support for faculty salaries, furniture or equipment, as these items are not eligible for funding.</w:t>
      </w:r>
    </w:p>
    <w:p w14:paraId="7BC32B81" w14:textId="77777777" w:rsidR="000E6563" w:rsidRPr="000E6563" w:rsidRDefault="000E6563" w:rsidP="000E6563">
      <w:pPr>
        <w:spacing w:after="0" w:line="240" w:lineRule="auto"/>
        <w:ind w:left="720"/>
        <w:contextualSpacing/>
        <w:rPr>
          <w:rFonts w:ascii="Mercury Display" w:eastAsia="Times New Roman" w:hAnsi="Mercury Display" w:cs="Arial"/>
          <w:sz w:val="24"/>
          <w:szCs w:val="24"/>
        </w:rPr>
      </w:pPr>
    </w:p>
    <w:p w14:paraId="0968DBA5" w14:textId="6ED23DD0" w:rsidR="000E6563" w:rsidRPr="000E6563" w:rsidRDefault="000E6563" w:rsidP="000E6563">
      <w:pPr>
        <w:spacing w:after="0" w:line="240" w:lineRule="auto"/>
        <w:ind w:left="630"/>
        <w:contextualSpacing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 xml:space="preserve">Women </w:t>
      </w:r>
      <w:r>
        <w:rPr>
          <w:rFonts w:ascii="Mercury Display" w:eastAsia="Times New Roman" w:hAnsi="Mercury Display" w:cs="Arial"/>
          <w:sz w:val="24"/>
          <w:szCs w:val="24"/>
        </w:rPr>
        <w:t>and</w:t>
      </w:r>
      <w:r w:rsidRPr="000E6563">
        <w:rPr>
          <w:rFonts w:ascii="Mercury Display" w:eastAsia="Times New Roman" w:hAnsi="Mercury Display" w:cs="Arial"/>
          <w:sz w:val="24"/>
          <w:szCs w:val="24"/>
        </w:rPr>
        <w:t xml:space="preserve"> Philanthropy will not contribute to endowment funds.</w:t>
      </w:r>
    </w:p>
    <w:p w14:paraId="16BEEC16" w14:textId="77777777" w:rsidR="000E6563" w:rsidRPr="000E6563" w:rsidRDefault="000E6563" w:rsidP="000E6563">
      <w:pPr>
        <w:spacing w:after="0" w:line="240" w:lineRule="auto"/>
        <w:rPr>
          <w:rFonts w:ascii="Mercury Display" w:eastAsia="Times New Roman" w:hAnsi="Mercury Display" w:cs="Arial"/>
          <w:sz w:val="28"/>
          <w:szCs w:val="28"/>
        </w:rPr>
      </w:pPr>
    </w:p>
    <w:p w14:paraId="3573C2BD" w14:textId="77777777" w:rsidR="000E6563" w:rsidRPr="000E6563" w:rsidRDefault="000E6563" w:rsidP="000E6563">
      <w:pPr>
        <w:spacing w:after="0" w:line="240" w:lineRule="auto"/>
        <w:ind w:left="630"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 xml:space="preserve">Additional pamphlets, brochures or other support materials are not encouraged, as they cannot be replicated for distribution to the entire membership. </w:t>
      </w:r>
    </w:p>
    <w:p w14:paraId="35028FB9" w14:textId="77777777" w:rsidR="000E6563" w:rsidRPr="000E6563" w:rsidRDefault="000E6563" w:rsidP="000E6563">
      <w:pPr>
        <w:spacing w:after="0" w:line="240" w:lineRule="auto"/>
        <w:rPr>
          <w:rFonts w:ascii="Mercury Display" w:eastAsia="Times New Roman" w:hAnsi="Mercury Display" w:cs="Arial"/>
          <w:sz w:val="24"/>
          <w:szCs w:val="24"/>
        </w:rPr>
      </w:pPr>
    </w:p>
    <w:p w14:paraId="3E50757D" w14:textId="77777777" w:rsidR="000E6563" w:rsidRPr="000E6563" w:rsidRDefault="000E6563" w:rsidP="000E6563">
      <w:pPr>
        <w:spacing w:after="0" w:line="240" w:lineRule="auto"/>
        <w:ind w:left="630"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>Each college or program is limited to TWO proposals. Please coordinate your proposal request with the dean of your college or the appropriate vice president to whom your program reports.</w:t>
      </w:r>
    </w:p>
    <w:p w14:paraId="2FB8089D" w14:textId="77777777" w:rsidR="000E6563" w:rsidRPr="000E6563" w:rsidRDefault="000E6563" w:rsidP="000E6563">
      <w:pPr>
        <w:spacing w:after="0" w:line="240" w:lineRule="auto"/>
        <w:rPr>
          <w:rFonts w:ascii="Mercury Display" w:eastAsia="Times New Roman" w:hAnsi="Mercury Display" w:cs="Arial"/>
          <w:sz w:val="24"/>
          <w:szCs w:val="24"/>
        </w:rPr>
      </w:pPr>
    </w:p>
    <w:p w14:paraId="422F3E76" w14:textId="77777777" w:rsidR="000E6563" w:rsidRPr="000E6563" w:rsidRDefault="000E6563" w:rsidP="000E6563">
      <w:pPr>
        <w:spacing w:after="0" w:line="240" w:lineRule="auto"/>
        <w:ind w:left="630"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>Proposals that are not approved by the appropriate dean or vice president will not be considered.</w:t>
      </w:r>
    </w:p>
    <w:p w14:paraId="297BFD06" w14:textId="77777777" w:rsidR="000E6563" w:rsidRPr="000E6563" w:rsidRDefault="000E6563" w:rsidP="000E6563">
      <w:pPr>
        <w:spacing w:after="0" w:line="240" w:lineRule="auto"/>
        <w:rPr>
          <w:rFonts w:ascii="Mercury Display" w:eastAsia="Times New Roman" w:hAnsi="Mercury Display" w:cs="Arial"/>
          <w:sz w:val="24"/>
          <w:szCs w:val="24"/>
        </w:rPr>
      </w:pPr>
    </w:p>
    <w:p w14:paraId="14A6A5F3" w14:textId="77777777" w:rsidR="000E6563" w:rsidRPr="000E6563" w:rsidRDefault="000E6563" w:rsidP="000E6563">
      <w:pPr>
        <w:spacing w:after="0" w:line="240" w:lineRule="auto"/>
        <w:ind w:left="630"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>The proposal verbiage should not be so technical that it cannot be understood by the general public.</w:t>
      </w:r>
    </w:p>
    <w:p w14:paraId="58391BCA" w14:textId="77777777" w:rsidR="000E6563" w:rsidRPr="000E6563" w:rsidRDefault="000E6563" w:rsidP="000E6563">
      <w:pPr>
        <w:spacing w:after="0" w:line="240" w:lineRule="auto"/>
        <w:rPr>
          <w:rFonts w:ascii="Mercury Display" w:eastAsia="Times New Roman" w:hAnsi="Mercury Display" w:cs="Arial"/>
          <w:sz w:val="24"/>
          <w:szCs w:val="24"/>
        </w:rPr>
      </w:pPr>
    </w:p>
    <w:p w14:paraId="21EBFD49" w14:textId="77777777" w:rsidR="000E6563" w:rsidRPr="000E6563" w:rsidRDefault="000E6563" w:rsidP="000E6563">
      <w:pPr>
        <w:spacing w:after="0" w:line="240" w:lineRule="auto"/>
        <w:ind w:firstLine="630"/>
        <w:rPr>
          <w:rFonts w:ascii="Mercury Display" w:eastAsia="Times New Roman" w:hAnsi="Mercury Display" w:cs="Arial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>Proposals that do not have a detailed budget will not be considered.</w:t>
      </w:r>
    </w:p>
    <w:p w14:paraId="75609862" w14:textId="77777777" w:rsidR="000E6563" w:rsidRPr="000E6563" w:rsidRDefault="000E6563" w:rsidP="000E6563">
      <w:pPr>
        <w:spacing w:after="0" w:line="240" w:lineRule="auto"/>
        <w:rPr>
          <w:rFonts w:ascii="Mercury Display" w:eastAsia="Times New Roman" w:hAnsi="Mercury Display" w:cs="Arial"/>
          <w:sz w:val="24"/>
          <w:szCs w:val="24"/>
        </w:rPr>
      </w:pPr>
    </w:p>
    <w:p w14:paraId="06F1DB02" w14:textId="1649D4B3" w:rsidR="000E6563" w:rsidRPr="000E6563" w:rsidRDefault="000E6563" w:rsidP="000E6563">
      <w:pPr>
        <w:spacing w:after="0" w:line="240" w:lineRule="auto"/>
        <w:ind w:left="630"/>
        <w:rPr>
          <w:rFonts w:ascii="Mercury Display" w:eastAsia="Times New Roman" w:hAnsi="Mercury Display" w:cs="Times New Roman"/>
          <w:sz w:val="24"/>
          <w:szCs w:val="24"/>
        </w:rPr>
      </w:pPr>
      <w:r w:rsidRPr="000E6563">
        <w:rPr>
          <w:rFonts w:ascii="Mercury Display" w:eastAsia="Times New Roman" w:hAnsi="Mercury Display" w:cs="Arial"/>
          <w:sz w:val="24"/>
          <w:szCs w:val="24"/>
        </w:rPr>
        <w:t xml:space="preserve">Should the proposal be selected to be presented in the semi-final or final rounds, it is important that the person presenting do so with a full understanding of the proposal and with enthusiasm.   </w:t>
      </w:r>
    </w:p>
    <w:p w14:paraId="076B9726" w14:textId="77777777" w:rsidR="000E6563" w:rsidRPr="000E6563" w:rsidRDefault="000E6563" w:rsidP="000E6563">
      <w:pPr>
        <w:spacing w:after="0" w:line="240" w:lineRule="auto"/>
        <w:jc w:val="center"/>
        <w:rPr>
          <w:rFonts w:ascii="Mercury Display" w:eastAsia="Times New Roman" w:hAnsi="Mercury Display" w:cs="Times New Roman"/>
          <w:sz w:val="24"/>
          <w:szCs w:val="24"/>
        </w:rPr>
      </w:pPr>
    </w:p>
    <w:p w14:paraId="556AB58B" w14:textId="77777777" w:rsidR="00BA0E54" w:rsidRDefault="00BA0E54"/>
    <w:sectPr w:rsidR="00BA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ercury Display Semibold">
    <w:panose1 w:val="0200060308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63"/>
    <w:rsid w:val="000E6563"/>
    <w:rsid w:val="00B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91BE"/>
  <w15:chartTrackingRefBased/>
  <w15:docId w15:val="{8CA69906-6DF5-459F-8530-FFAE63E0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18239D42DA41AE53FCC83D01ECEC" ma:contentTypeVersion="12" ma:contentTypeDescription="Create a new document." ma:contentTypeScope="" ma:versionID="5e3d39a5be4dbbb169562b7210cc997f">
  <xsd:schema xmlns:xsd="http://www.w3.org/2001/XMLSchema" xmlns:xs="http://www.w3.org/2001/XMLSchema" xmlns:p="http://schemas.microsoft.com/office/2006/metadata/properties" xmlns:ns2="16f19506-04c2-4366-875d-0248ffb75313" xmlns:ns3="e3fa997a-dff9-4c4c-905b-0de5cdcff645" targetNamespace="http://schemas.microsoft.com/office/2006/metadata/properties" ma:root="true" ma:fieldsID="c0081f1961b3ecb4ea4b9ba23ff7dc30" ns2:_="" ns3:_="">
    <xsd:import namespace="16f19506-04c2-4366-875d-0248ffb75313"/>
    <xsd:import namespace="e3fa997a-dff9-4c4c-905b-0de5cdcff6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9506-04c2-4366-875d-0248ffb753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997a-dff9-4c4c-905b-0de5cdcf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19506-04c2-4366-875d-0248ffb75313">UZFEXZDVNDKQ-1477994348-30471</_dlc_DocId>
    <_dlc_DocIdUrl xmlns="16f19506-04c2-4366-875d-0248ffb75313">
      <Url>https://luky.sharepoint.com/sites/philanthropy/centraldevelopment/DR/_layouts/15/DocIdRedir.aspx?ID=UZFEXZDVNDKQ-1477994348-30471</Url>
      <Description>UZFEXZDVNDKQ-1477994348-30471</Description>
    </_dlc_DocIdUrl>
  </documentManagement>
</p:properties>
</file>

<file path=customXml/itemProps1.xml><?xml version="1.0" encoding="utf-8"?>
<ds:datastoreItem xmlns:ds="http://schemas.openxmlformats.org/officeDocument/2006/customXml" ds:itemID="{2D3C6D18-351B-46A6-92A4-7FD8725151BC}"/>
</file>

<file path=customXml/itemProps2.xml><?xml version="1.0" encoding="utf-8"?>
<ds:datastoreItem xmlns:ds="http://schemas.openxmlformats.org/officeDocument/2006/customXml" ds:itemID="{39BACB8F-1FDB-4606-A824-7196113C5F8E}"/>
</file>

<file path=customXml/itemProps3.xml><?xml version="1.0" encoding="utf-8"?>
<ds:datastoreItem xmlns:ds="http://schemas.openxmlformats.org/officeDocument/2006/customXml" ds:itemID="{DACA99BC-0B8D-4278-82B4-875059D12354}"/>
</file>

<file path=customXml/itemProps4.xml><?xml version="1.0" encoding="utf-8"?>
<ds:datastoreItem xmlns:ds="http://schemas.openxmlformats.org/officeDocument/2006/customXml" ds:itemID="{D2863AD9-BEF8-4627-9802-BA9F7B0FA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Lisa</dc:creator>
  <cp:keywords/>
  <dc:description/>
  <cp:lastModifiedBy>Atkinson, Lisa</cp:lastModifiedBy>
  <cp:revision>1</cp:revision>
  <dcterms:created xsi:type="dcterms:W3CDTF">2021-06-08T13:13:00Z</dcterms:created>
  <dcterms:modified xsi:type="dcterms:W3CDTF">2021-06-08T13:15:00Z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0x010100C31118239D42DA41AE53FCC83D01ECEC</vt:lpwstr>
  </property>
  <property fmtid="{D5CDD505-2E9C-101B-9397-08002B2CF9AE}" pid="3" name="_dlc_DocIdItemGuid">
    <vt:lpwstr>451e2122-c565-447a-ad1f-a0ba5fbab0d5</vt:lpwstr>
  </property>
</Properties>
</file>